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13, 2026 AGENDA ITEM NO. 11</w:t>
      </w:r>
    </w:p>
    <w:p>
      <w:pPr>
        <w:pStyle w:val="BodyText"/>
        <w:spacing w:before="2"/>
        <w:rPr>
          <w:b/>
          <w:sz w:val="16"/>
        </w:rPr>
      </w:pPr>
    </w:p>
    <w:p>
      <w:pPr>
        <w:pStyle w:val="BodyText"/>
        <w:spacing w:before="90"/>
        <w:ind w:left="120"/>
      </w:pPr>
      <w:r>
        <w:rPr/>
        <w:t>Introduced by the County Services Committee of the:</w:t>
      </w:r>
    </w:p>
    <w:p>
      <w:pPr>
        <w:pStyle w:val="BodyText"/>
      </w:pPr>
    </w:p>
    <w:p>
      <w:pPr>
        <w:pStyle w:val="BodyText"/>
        <w:ind w:left="471" w:right="472"/>
        <w:jc w:val="center"/>
      </w:pPr>
      <w:r>
        <w:rPr/>
        <w:t>INGHAM COUNTY BOARD OF COMMISSIONERS</w:t>
      </w:r>
    </w:p>
    <w:p>
      <w:pPr>
        <w:pStyle w:val="BodyText"/>
      </w:pPr>
    </w:p>
    <w:p>
      <w:pPr>
        <w:pStyle w:val="Heading1"/>
        <w:ind w:right="472"/>
      </w:pPr>
      <w:r>
        <w:rPr/>
        <w:t>RESOLUTION TO AUTHORIZE A WAIVER OF CONFLICT BETWEEN INGHAM COUNTY, INGHAM COUNTY SHERIFF SCOTT WRIGGELSWORTH AND</w:t>
      </w:r>
    </w:p>
    <w:p>
      <w:pPr>
        <w:spacing w:line="480" w:lineRule="auto" w:before="0"/>
        <w:ind w:left="3646" w:right="3647" w:firstLine="0"/>
        <w:jc w:val="center"/>
        <w:rPr>
          <w:b/>
          <w:sz w:val="24"/>
        </w:rPr>
      </w:pPr>
      <w:r>
        <w:rPr>
          <w:b/>
          <w:sz w:val="24"/>
        </w:rPr>
        <w:t>COHL, STOKER &amp; TOSKEY, P.C. RESOLUTION #26 – 475</w:t>
      </w:r>
    </w:p>
    <w:p>
      <w:pPr>
        <w:pStyle w:val="BodyText"/>
        <w:rPr>
          <w:b/>
        </w:rPr>
      </w:pPr>
    </w:p>
    <w:p>
      <w:pPr>
        <w:pStyle w:val="BodyText"/>
        <w:ind w:left="120" w:right="155"/>
      </w:pPr>
      <w:r>
        <w:rPr/>
        <w:t>WHEREAS, on September 11, 2026, Michael and Leah Dalton sent a Notice to Preserve Records to (1) Ingham County, (2) Ingham County Sheriff Wriggelsworth, (3) Attorney Timothy Perrone, and (4) George Lammers and G &amp; L Process Service, Inc.; and</w:t>
      </w:r>
    </w:p>
    <w:p>
      <w:pPr>
        <w:pStyle w:val="BodyText"/>
      </w:pPr>
    </w:p>
    <w:p>
      <w:pPr>
        <w:pStyle w:val="BodyText"/>
        <w:ind w:left="120" w:right="323"/>
      </w:pPr>
      <w:r>
        <w:rPr/>
        <w:t>WHEREAS, the Notice stated that the named recipients were the targets of a potential civil rights lawsuit pursuant to 42 USC §1983, for violating, or conspiring to violate the Daltons’ civil rights, in connection with the foreclosure by advertisement of two properties in 2025, and the agreement between the County and G &amp; L Process Service, Inc.; and</w:t>
      </w:r>
    </w:p>
    <w:p>
      <w:pPr>
        <w:pStyle w:val="BodyText"/>
      </w:pPr>
    </w:p>
    <w:p>
      <w:pPr>
        <w:pStyle w:val="BodyText"/>
        <w:ind w:left="120" w:right="195"/>
      </w:pPr>
      <w:r>
        <w:rPr/>
        <w:t>WHEREAS, in the role of reviewing the Daltons’ claim, counseling the County and Sheriff, and representing those parties as well as Attorney Perrone and/or the law firm of Cohl, Stoker &amp; Toskey, P.C. in a potential civil rights lawsuit, the County Attorney’s representation implicates the rules governing attorneys and potential conflicts of interest; and</w:t>
      </w:r>
    </w:p>
    <w:p>
      <w:pPr>
        <w:pStyle w:val="BodyText"/>
      </w:pPr>
    </w:p>
    <w:p>
      <w:pPr>
        <w:pStyle w:val="BodyText"/>
        <w:ind w:left="120" w:right="155"/>
      </w:pPr>
      <w:r>
        <w:rPr/>
        <w:t>WHEREAS, the County Attorney does not reasonably believe that their representation of the County and Sheriff and Attorney Perrone (or Cohl, Stoker &amp; Toskey, P.C.) in this matter will adversely affect the County or the Sheriff, nor does it appear that any confidential information received would be material to the transaction or disclosed by the County Attorney; however, it is possible that the County and/or the Sheriff may ultimately disagree over their opinion regarding the claim or litigation; and</w:t>
      </w:r>
    </w:p>
    <w:p>
      <w:pPr>
        <w:pStyle w:val="BodyText"/>
      </w:pPr>
    </w:p>
    <w:p>
      <w:pPr>
        <w:pStyle w:val="BodyText"/>
        <w:spacing w:before="1"/>
        <w:ind w:left="119" w:right="437"/>
      </w:pPr>
      <w:r>
        <w:rPr/>
        <w:t>WHEREAS,</w:t>
      </w:r>
      <w:r>
        <w:rPr>
          <w:spacing w:val="-17"/>
        </w:rPr>
        <w:t> </w:t>
      </w:r>
      <w:r>
        <w:rPr/>
        <w:t>the</w:t>
      </w:r>
      <w:r>
        <w:rPr>
          <w:spacing w:val="-17"/>
        </w:rPr>
        <w:t> </w:t>
      </w:r>
      <w:r>
        <w:rPr/>
        <w:t>County</w:t>
      </w:r>
      <w:r>
        <w:rPr>
          <w:spacing w:val="-22"/>
        </w:rPr>
        <w:t> </w:t>
      </w:r>
      <w:r>
        <w:rPr/>
        <w:t>Attorney,</w:t>
      </w:r>
      <w:r>
        <w:rPr>
          <w:spacing w:val="-16"/>
        </w:rPr>
        <w:t> </w:t>
      </w:r>
      <w:r>
        <w:rPr/>
        <w:t>pursuant</w:t>
      </w:r>
      <w:r>
        <w:rPr>
          <w:spacing w:val="-15"/>
        </w:rPr>
        <w:t> </w:t>
      </w:r>
      <w:r>
        <w:rPr/>
        <w:t>to</w:t>
      </w:r>
      <w:r>
        <w:rPr>
          <w:spacing w:val="-17"/>
        </w:rPr>
        <w:t> </w:t>
      </w:r>
      <w:r>
        <w:rPr/>
        <w:t>Rule</w:t>
      </w:r>
      <w:r>
        <w:rPr>
          <w:spacing w:val="-17"/>
        </w:rPr>
        <w:t> </w:t>
      </w:r>
      <w:r>
        <w:rPr/>
        <w:t>of</w:t>
      </w:r>
      <w:r>
        <w:rPr>
          <w:spacing w:val="-18"/>
        </w:rPr>
        <w:t> </w:t>
      </w:r>
      <w:r>
        <w:rPr/>
        <w:t>Professional</w:t>
      </w:r>
      <w:r>
        <w:rPr>
          <w:spacing w:val="-15"/>
        </w:rPr>
        <w:t> </w:t>
      </w:r>
      <w:r>
        <w:rPr/>
        <w:t>Conduct</w:t>
      </w:r>
      <w:r>
        <w:rPr>
          <w:spacing w:val="-14"/>
        </w:rPr>
        <w:t> </w:t>
      </w:r>
      <w:r>
        <w:rPr/>
        <w:t>1.7,</w:t>
      </w:r>
      <w:r>
        <w:rPr>
          <w:spacing w:val="-16"/>
        </w:rPr>
        <w:t> </w:t>
      </w:r>
      <w:r>
        <w:rPr/>
        <w:t>requests</w:t>
      </w:r>
      <w:r>
        <w:rPr>
          <w:spacing w:val="-17"/>
        </w:rPr>
        <w:t> </w:t>
      </w:r>
      <w:r>
        <w:rPr/>
        <w:t>a</w:t>
      </w:r>
      <w:r>
        <w:rPr>
          <w:spacing w:val="-17"/>
        </w:rPr>
        <w:t> </w:t>
      </w:r>
      <w:r>
        <w:rPr/>
        <w:t>signed</w:t>
      </w:r>
      <w:r>
        <w:rPr>
          <w:spacing w:val="-13"/>
        </w:rPr>
        <w:t> </w:t>
      </w:r>
      <w:r>
        <w:rPr/>
        <w:t>conflict waiver for the County Attorney to prepare, counsel, and represent Ingham County and Ingham County Sheriff Scott Wriggelsworth, as well as Attorney Timothy Perrone and/or Cohl, Stoker &amp; Toskey,</w:t>
      </w:r>
      <w:r>
        <w:rPr>
          <w:spacing w:val="-24"/>
        </w:rPr>
        <w:t> </w:t>
      </w:r>
      <w:r>
        <w:rPr/>
        <w:t>P.C.</w:t>
      </w:r>
    </w:p>
    <w:p>
      <w:pPr>
        <w:pStyle w:val="BodyText"/>
      </w:pPr>
    </w:p>
    <w:p>
      <w:pPr>
        <w:pStyle w:val="BodyText"/>
        <w:ind w:left="119" w:right="176"/>
      </w:pPr>
      <w:r>
        <w:rPr/>
        <w:t>THEREFORE BE IT RESOLVED, that the Ingham County Board of Commissioners hereby approves a waiver of legal conflict to allow the County Attorney to prepare, counsel, and represent Ingham County and Ingham County Sheriff Scott Wriggelsworth, as well as Attorney Timothy Perrone and/or the law firm of Cohl, Stoker &amp; Toskey, P.C. in regard to a potential civil rights lawsuit filed on behalf of Michael and Leah Dalton pursuant to 42 USC §1983.</w:t>
      </w:r>
    </w:p>
    <w:p>
      <w:pPr>
        <w:pStyle w:val="BodyText"/>
      </w:pPr>
    </w:p>
    <w:p>
      <w:pPr>
        <w:pStyle w:val="BodyText"/>
        <w:ind w:left="119" w:right="976"/>
      </w:pPr>
      <w:r>
        <w:rPr/>
        <w:t>BE IT FURTHER RESOLVED, that the Board authorizes the Board Chairperson to sign any necessary documents related to this matter.</w:t>
      </w:r>
    </w:p>
    <w:p>
      <w:pPr>
        <w:pStyle w:val="BodyText"/>
      </w:pPr>
    </w:p>
    <w:p>
      <w:pPr>
        <w:spacing w:before="0"/>
        <w:ind w:left="119"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72"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2026-10-14T17:21:28Z</dcterms:created>
  <dcterms:modified xsi:type="dcterms:W3CDTF">2026-10-14T17:21:28Z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